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1260"/>
        <w:gridCol w:w="4446"/>
      </w:tblGrid>
      <w:tr w:rsidR="00F8230B" w:rsidRPr="00F8230B" w:rsidTr="00294E9F">
        <w:trPr>
          <w:jc w:val="center"/>
        </w:trPr>
        <w:tc>
          <w:tcPr>
            <w:tcW w:w="4500" w:type="dxa"/>
          </w:tcPr>
          <w:p w:rsidR="00F8230B" w:rsidRPr="00F8230B" w:rsidRDefault="00F8230B" w:rsidP="00F8230B">
            <w:pPr>
              <w:widowControl w:val="0"/>
              <w:tabs>
                <w:tab w:val="left" w:pos="4215"/>
              </w:tabs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60" w:type="dxa"/>
          </w:tcPr>
          <w:p w:rsidR="00F8230B" w:rsidRPr="00F8230B" w:rsidRDefault="00F8230B" w:rsidP="00F8230B">
            <w:pPr>
              <w:widowControl w:val="0"/>
              <w:tabs>
                <w:tab w:val="left" w:pos="4215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F8230B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drawing>
                <wp:inline distT="0" distB="0" distL="0" distR="0" wp14:anchorId="729BB278" wp14:editId="5A1A87AC">
                  <wp:extent cx="527050" cy="577850"/>
                  <wp:effectExtent l="19050" t="0" r="635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F8230B" w:rsidRPr="00F8230B" w:rsidRDefault="00F8230B" w:rsidP="00F8230B">
            <w:pPr>
              <w:widowControl w:val="0"/>
              <w:tabs>
                <w:tab w:val="left" w:pos="4215"/>
              </w:tabs>
              <w:jc w:val="righ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F8230B" w:rsidRPr="00F8230B" w:rsidTr="00294E9F">
        <w:trPr>
          <w:trHeight w:val="1364"/>
          <w:jc w:val="center"/>
        </w:trPr>
        <w:tc>
          <w:tcPr>
            <w:tcW w:w="10206" w:type="dxa"/>
            <w:gridSpan w:val="3"/>
          </w:tcPr>
          <w:p w:rsidR="00F8230B" w:rsidRPr="00F8230B" w:rsidRDefault="00F8230B" w:rsidP="00C40307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8230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ПРОФСОЮЗ РАБОТНИКОВ НАРОДНОГО ОБРАЗОВАНИЯ И НАУКИ</w:t>
            </w:r>
          </w:p>
          <w:p w:rsidR="00F8230B" w:rsidRPr="00F8230B" w:rsidRDefault="00F8230B" w:rsidP="00C40307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</w:pPr>
            <w:r w:rsidRPr="00F8230B">
              <w:rPr>
                <w:rFonts w:eastAsia="Arial Unicode MS"/>
                <w:b/>
                <w:color w:val="000000"/>
                <w:sz w:val="24"/>
                <w:szCs w:val="24"/>
                <w:lang w:bidi="ru-RU"/>
              </w:rPr>
              <w:t>РОССИЙСКОЙ ФЕДЕРАЦИИ</w:t>
            </w:r>
          </w:p>
          <w:p w:rsidR="00F8230B" w:rsidRPr="00F8230B" w:rsidRDefault="00F8230B" w:rsidP="00C4030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F8230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(ОБЩЕРОССИЙСКИЙ ПРОФСОЮЗ ОБРАЗОВАНИЯ)</w:t>
            </w:r>
          </w:p>
          <w:p w:rsidR="00F8230B" w:rsidRPr="00F8230B" w:rsidRDefault="00F8230B" w:rsidP="00C40307">
            <w:pPr>
              <w:keepNext/>
              <w:spacing w:before="12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F8230B">
              <w:rPr>
                <w:b/>
                <w:bCs/>
                <w:sz w:val="24"/>
                <w:szCs w:val="24"/>
              </w:rPr>
              <w:t>ИРКУТСКАЯ ОБЛАСТНАЯ ОРГАНИЗАЦИЯ</w:t>
            </w:r>
            <w:r w:rsidR="00302684">
              <w:rPr>
                <w:b/>
                <w:bCs/>
                <w:sz w:val="24"/>
                <w:szCs w:val="24"/>
              </w:rPr>
              <w:t xml:space="preserve"> ПРОФСОЮЗА</w:t>
            </w:r>
          </w:p>
          <w:p w:rsidR="00F8230B" w:rsidRPr="00D74BDD" w:rsidRDefault="00F8230B" w:rsidP="00776627">
            <w:pPr>
              <w:widowControl w:val="0"/>
              <w:spacing w:after="40"/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F8230B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664007, г. Иркутск, ул. Декабрьских Событий, д.88        </w:t>
            </w:r>
            <w:r w:rsidR="0083252F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        </w:t>
            </w:r>
            <w:r w:rsidR="0083252F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br/>
              <w:t>тел. (8-3952) 20-40-78</w:t>
            </w:r>
            <w:r w:rsidRPr="00F8230B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; факс</w:t>
            </w:r>
            <w:r w:rsidR="00D96A99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(8-3952) 20-41</w:t>
            </w:r>
            <w:r w:rsidR="0083252F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-</w:t>
            </w:r>
            <w:r w:rsidR="00D96A99" w:rsidRPr="00D74BDD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38</w:t>
            </w:r>
          </w:p>
          <w:p w:rsidR="00F8230B" w:rsidRPr="00F8230B" w:rsidRDefault="00F8230B" w:rsidP="00C40307">
            <w:pPr>
              <w:widowControl w:val="0"/>
              <w:jc w:val="center"/>
              <w:rPr>
                <w:rFonts w:eastAsia="Arial Unicode MS"/>
                <w:b/>
                <w:color w:val="000000"/>
                <w:sz w:val="16"/>
                <w:szCs w:val="16"/>
                <w:lang w:val="en-US" w:bidi="ru-RU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F8230B">
              <w:rPr>
                <w:rFonts w:eastAsia="Arial Unicode MS"/>
                <w:b/>
                <w:color w:val="000000"/>
                <w:sz w:val="22"/>
                <w:szCs w:val="22"/>
                <w:lang w:val="en-US" w:bidi="ru-RU"/>
              </w:rPr>
              <w:t>e</w:t>
            </w:r>
            <w:r w:rsidRPr="0083252F">
              <w:rPr>
                <w:rFonts w:eastAsia="Arial Unicode MS"/>
                <w:b/>
                <w:color w:val="000000"/>
                <w:sz w:val="22"/>
                <w:szCs w:val="22"/>
                <w:lang w:val="en-US" w:bidi="ru-RU"/>
              </w:rPr>
              <w:t>-</w:t>
            </w:r>
            <w:r w:rsidRPr="00F8230B">
              <w:rPr>
                <w:rFonts w:eastAsia="Arial Unicode MS"/>
                <w:b/>
                <w:color w:val="000000"/>
                <w:sz w:val="22"/>
                <w:szCs w:val="22"/>
                <w:lang w:val="en-US" w:bidi="ru-RU"/>
              </w:rPr>
              <w:t>mail</w:t>
            </w:r>
            <w:r w:rsidRPr="0083252F">
              <w:rPr>
                <w:rFonts w:eastAsia="Arial Unicode MS"/>
                <w:b/>
                <w:color w:val="000000"/>
                <w:sz w:val="22"/>
                <w:szCs w:val="22"/>
                <w:lang w:val="en-US" w:bidi="ru-RU"/>
              </w:rPr>
              <w:t>:</w:t>
            </w:r>
            <w:r w:rsidR="00776627" w:rsidRPr="0083252F">
              <w:rPr>
                <w:rFonts w:eastAsia="Arial Unicode MS"/>
                <w:b/>
                <w:color w:val="000000"/>
                <w:sz w:val="22"/>
                <w:szCs w:val="22"/>
                <w:lang w:val="en-US" w:bidi="ru-RU"/>
              </w:rPr>
              <w:t xml:space="preserve"> </w:t>
            </w:r>
            <w:hyperlink r:id="rId5" w:history="1">
              <w:r w:rsidRPr="00F8230B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irkutsk</w:t>
              </w:r>
              <w:r w:rsidRPr="0083252F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_</w:t>
              </w:r>
              <w:r w:rsidRPr="00F8230B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tk</w:t>
              </w:r>
              <w:r w:rsidRPr="0083252F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@</w:t>
              </w:r>
              <w:r w:rsidRPr="00F8230B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mail</w:t>
              </w:r>
              <w:r w:rsidRPr="0083252F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.</w:t>
              </w:r>
              <w:r w:rsidRPr="00F8230B">
                <w:rPr>
                  <w:rFonts w:eastAsia="Arial Unicode MS"/>
                  <w:b/>
                  <w:color w:val="0000FF"/>
                  <w:sz w:val="22"/>
                  <w:szCs w:val="22"/>
                  <w:u w:val="single"/>
                  <w:lang w:val="en-US" w:bidi="ru-RU"/>
                </w:rPr>
                <w:t>ru</w:t>
              </w:r>
            </w:hyperlink>
            <w:r w:rsidR="00776627" w:rsidRPr="0083252F">
              <w:rPr>
                <w:rFonts w:eastAsia="Arial Unicode MS"/>
                <w:b/>
                <w:color w:val="0000FF"/>
                <w:sz w:val="22"/>
                <w:szCs w:val="22"/>
                <w:u w:val="single"/>
                <w:lang w:val="en-US" w:bidi="ru-RU"/>
              </w:rPr>
              <w:t xml:space="preserve"> </w:t>
            </w:r>
            <w:r w:rsidR="00776627" w:rsidRPr="0083252F">
              <w:rPr>
                <w:rFonts w:eastAsia="Arial Unicode MS"/>
                <w:b/>
                <w:color w:val="0000FF"/>
                <w:sz w:val="22"/>
                <w:szCs w:val="22"/>
                <w:lang w:val="en-US" w:bidi="ru-RU"/>
              </w:rPr>
              <w:t xml:space="preserve">     </w:t>
            </w:r>
            <w:r w:rsidR="00776627" w:rsidRPr="0083252F">
              <w:rPr>
                <w:rFonts w:eastAsia="Arial Unicode MS"/>
                <w:b/>
                <w:color w:val="0000FF"/>
                <w:sz w:val="22"/>
                <w:szCs w:val="22"/>
                <w:u w:val="single"/>
                <w:lang w:val="en-US" w:bidi="ru-RU"/>
              </w:rPr>
              <w:t xml:space="preserve"> </w:t>
            </w:r>
            <w:hyperlink r:id="rId6" w:history="1">
              <w:r w:rsidR="00776627" w:rsidRPr="002052E9">
                <w:rPr>
                  <w:rStyle w:val="a4"/>
                  <w:rFonts w:eastAsia="Arial Unicode MS"/>
                  <w:b/>
                  <w:sz w:val="22"/>
                  <w:szCs w:val="22"/>
                  <w:lang w:val="en-US" w:bidi="ru-RU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www</w:t>
              </w:r>
              <w:r w:rsidR="00776627" w:rsidRPr="00776627">
                <w:rPr>
                  <w:rStyle w:val="a4"/>
                  <w:rFonts w:eastAsia="Arial Unicode MS"/>
                  <w:b/>
                  <w:sz w:val="22"/>
                  <w:szCs w:val="22"/>
                  <w:lang w:val="en-US" w:bidi="ru-RU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.</w:t>
              </w:r>
              <w:r w:rsidR="00776627" w:rsidRPr="002052E9">
                <w:rPr>
                  <w:rStyle w:val="a4"/>
                  <w:rFonts w:eastAsia="Arial Unicode MS"/>
                  <w:b/>
                  <w:sz w:val="22"/>
                  <w:szCs w:val="22"/>
                  <w:lang w:val="en-US" w:bidi="ru-RU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profedu</w:t>
              </w:r>
              <w:r w:rsidR="00776627" w:rsidRPr="00776627">
                <w:rPr>
                  <w:rStyle w:val="a4"/>
                  <w:rFonts w:eastAsia="Arial Unicode MS"/>
                  <w:b/>
                  <w:sz w:val="22"/>
                  <w:szCs w:val="22"/>
                  <w:lang w:val="en-US" w:bidi="ru-RU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38.</w:t>
              </w:r>
              <w:r w:rsidR="00776627" w:rsidRPr="002052E9">
                <w:rPr>
                  <w:rStyle w:val="a4"/>
                  <w:rFonts w:eastAsia="Arial Unicode MS"/>
                  <w:b/>
                  <w:sz w:val="22"/>
                  <w:szCs w:val="22"/>
                  <w:lang w:val="en-US" w:bidi="ru-RU"/>
                  <w14:textFill>
                    <w14:gradFill>
                      <w14:gsLst>
                        <w14:gs w14:pos="0">
                          <w14:srgbClr w14:val="0000FF">
                            <w14:shade w14:val="30000"/>
                            <w14:satMod w14:val="115000"/>
                          </w14:srgbClr>
                        </w14:gs>
                        <w14:gs w14:pos="50000">
                          <w14:srgbClr w14:val="0000FF">
                            <w14:shade w14:val="67500"/>
                            <w14:satMod w14:val="115000"/>
                          </w14:srgbClr>
                        </w14:gs>
                        <w14:gs w14:pos="100000">
                          <w14:srgbClr w14:val="0000FF">
                            <w14:shade w14:val="100000"/>
                            <w14:satMod w14:val="115000"/>
                          </w14:srgbClr>
                        </w14:gs>
                      </w14:gsLst>
                      <w14:lin w14:ang="2700000" w14:scaled="0"/>
                    </w14:gradFill>
                  </w14:textFill>
                </w:rPr>
                <w:t>ru</w:t>
              </w:r>
            </w:hyperlink>
          </w:p>
          <w:p w:rsidR="00F8230B" w:rsidRPr="00F8230B" w:rsidRDefault="00F8230B" w:rsidP="00C40307">
            <w:pPr>
              <w:widowControl w:val="0"/>
              <w:jc w:val="center"/>
              <w:rPr>
                <w:rFonts w:eastAsia="Arial Unicode MS"/>
                <w:b/>
                <w:color w:val="000000"/>
                <w:sz w:val="32"/>
                <w:szCs w:val="32"/>
                <w:lang w:val="en-US" w:bidi="ru-RU"/>
              </w:rPr>
            </w:pPr>
          </w:p>
          <w:p w:rsidR="00F8230B" w:rsidRPr="00F8230B" w:rsidRDefault="00F8230B" w:rsidP="00C40307">
            <w:pPr>
              <w:widowControl w:val="0"/>
              <w:spacing w:after="120"/>
              <w:jc w:val="center"/>
              <w:rPr>
                <w:rFonts w:eastAsia="Arial Unicode MS"/>
                <w:b/>
                <w:color w:val="000000"/>
                <w:sz w:val="32"/>
                <w:szCs w:val="32"/>
                <w:lang w:bidi="ru-RU"/>
              </w:rPr>
            </w:pPr>
            <w:r w:rsidRPr="00F8230B">
              <w:rPr>
                <w:rFonts w:eastAsia="Arial Unicode MS"/>
                <w:b/>
                <w:color w:val="000000"/>
                <w:sz w:val="32"/>
                <w:szCs w:val="32"/>
                <w:lang w:bidi="ru-RU"/>
              </w:rPr>
              <w:t>ИНФОРМАЦИЯ</w:t>
            </w:r>
          </w:p>
        </w:tc>
      </w:tr>
      <w:tr w:rsidR="00F8230B" w:rsidRPr="00F8230B" w:rsidTr="00294E9F">
        <w:trPr>
          <w:trHeight w:val="277"/>
          <w:jc w:val="center"/>
        </w:trPr>
        <w:tc>
          <w:tcPr>
            <w:tcW w:w="4500" w:type="dxa"/>
          </w:tcPr>
          <w:p w:rsidR="00F8230B" w:rsidRPr="00F8230B" w:rsidRDefault="00C05CBA" w:rsidP="00D96A99">
            <w:pPr>
              <w:widowControl w:val="0"/>
              <w:tabs>
                <w:tab w:val="left" w:pos="4215"/>
              </w:tabs>
              <w:spacing w:before="6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«10» апреля 2018</w:t>
            </w:r>
            <w:r w:rsidR="00F8230B" w:rsidRPr="00F8230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  <w:tc>
          <w:tcPr>
            <w:tcW w:w="1260" w:type="dxa"/>
          </w:tcPr>
          <w:p w:rsidR="00F8230B" w:rsidRPr="00F8230B" w:rsidRDefault="00F8230B" w:rsidP="00F8230B">
            <w:pPr>
              <w:widowControl w:val="0"/>
              <w:tabs>
                <w:tab w:val="left" w:pos="421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446" w:type="dxa"/>
          </w:tcPr>
          <w:p w:rsidR="00F8230B" w:rsidRPr="00F8230B" w:rsidRDefault="00F8230B" w:rsidP="00F8230B">
            <w:pPr>
              <w:widowControl w:val="0"/>
              <w:tabs>
                <w:tab w:val="left" w:pos="4215"/>
              </w:tabs>
              <w:spacing w:before="60"/>
              <w:jc w:val="righ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8230B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г. Иркутск</w:t>
            </w:r>
          </w:p>
        </w:tc>
      </w:tr>
    </w:tbl>
    <w:p w:rsidR="006C6E46" w:rsidRDefault="006C6E46"/>
    <w:p w:rsidR="00D74BDD" w:rsidRDefault="00D74BDD">
      <w:pPr>
        <w:rPr>
          <w:b/>
        </w:rPr>
      </w:pPr>
      <w:r w:rsidRPr="00D74BDD">
        <w:rPr>
          <w:b/>
        </w:rPr>
        <w:t>О детской оздоровительной кампании в 2018 году</w:t>
      </w:r>
    </w:p>
    <w:p w:rsidR="0040067C" w:rsidRDefault="00A16991" w:rsidP="00A16991">
      <w:pPr>
        <w:spacing w:after="0"/>
        <w:jc w:val="both"/>
      </w:pPr>
      <w:r>
        <w:rPr>
          <w:b/>
        </w:rPr>
        <w:tab/>
      </w:r>
      <w:r>
        <w:t xml:space="preserve">27 марта 2018 года президиум Союза «Иркутское областное объединение организаций профсоюзов» рассмотрел вопрос о подготовке и проведении летней оздоровительной кампании детей и подростков в 2018 году. </w:t>
      </w:r>
    </w:p>
    <w:p w:rsidR="00A16991" w:rsidRDefault="00A16991" w:rsidP="0040067C">
      <w:pPr>
        <w:spacing w:after="0"/>
        <w:ind w:firstLine="708"/>
        <w:jc w:val="both"/>
      </w:pPr>
      <w:r>
        <w:t xml:space="preserve">Информацию о результатах кампании </w:t>
      </w:r>
      <w:r w:rsidR="00B937A2">
        <w:t xml:space="preserve">2017 года и </w:t>
      </w:r>
      <w:r>
        <w:t xml:space="preserve">ходе </w:t>
      </w:r>
      <w:r w:rsidR="00B937A2">
        <w:t xml:space="preserve">подготовки к оздоровительной кампании 2018 года </w:t>
      </w:r>
      <w:r w:rsidR="0040067C">
        <w:t>представило</w:t>
      </w:r>
      <w:r w:rsidR="00B937A2">
        <w:t xml:space="preserve"> </w:t>
      </w:r>
      <w:r>
        <w:t>минист</w:t>
      </w:r>
      <w:r w:rsidR="0040067C">
        <w:t>ерство</w:t>
      </w:r>
      <w:r>
        <w:t xml:space="preserve"> социального развития, опеки и попечительства Иркутской области</w:t>
      </w:r>
      <w:r w:rsidR="0040067C">
        <w:t>.</w:t>
      </w:r>
      <w:r w:rsidR="00B937A2">
        <w:t xml:space="preserve"> </w:t>
      </w:r>
    </w:p>
    <w:p w:rsidR="0040067C" w:rsidRDefault="0040067C" w:rsidP="0040067C">
      <w:pPr>
        <w:spacing w:after="0"/>
        <w:jc w:val="both"/>
      </w:pPr>
      <w:r>
        <w:tab/>
        <w:t>Так, в 2017 году общий объем средств, предусмотренных на финансирование детской оздоровительной кампании, составил 726,6 млн рублей, в том числе средства областного бюджета – 624,5 млн рублей, что больше на 23,8 млн рублей по сравнению с 2016 годом. Благодаря увеличению финансирования была повышена на 5,5% стоимость путевки, приобретаемой за счет средств бюджета, и стоимость набора продуктов питания для лагерей с дневным пребыванием.</w:t>
      </w:r>
    </w:p>
    <w:p w:rsidR="0040067C" w:rsidRDefault="0040067C" w:rsidP="0040067C">
      <w:pPr>
        <w:spacing w:after="0"/>
        <w:jc w:val="both"/>
      </w:pPr>
      <w:r>
        <w:tab/>
        <w:t>Кроме того, в 2017 году предоставлялись целевые субсидии на укрепление материально-технической базы 14 муниципальных оздоровительных лагерей. Общий объем субсидий составил 23,1 млн рублей. На выделенные средства в восьми муниципальных оздоровительных лагерях были проведены капитальный и текущий ремонты, в шести лагерях приобретены оборудование, инвентарь, мебель и техника. Из областного бюджета были выделены 19,4 млн рублей 20-ти областным государственным учреждениям, оказывающим услуги по обеспечению отдыха и оздоровления детей, для проведения ремонтных работ, приобретения инвентаря, оборудования и техники. Благодаря спонсорской помощи в размере 16,8 млн рублей, была проведена реконструкция, приобретена мебель, инвентарь для детского оздоровительного лагеря «Чемпион» Братского района.</w:t>
      </w:r>
    </w:p>
    <w:p w:rsidR="0040067C" w:rsidRDefault="0040067C" w:rsidP="0040067C">
      <w:pPr>
        <w:spacing w:after="0"/>
        <w:jc w:val="both"/>
      </w:pPr>
      <w:r>
        <w:tab/>
        <w:t xml:space="preserve">В период детской оздоровительной кампании 2017 года функционировали 911 оздоровительных учреждений, в которых отдохнули 134 384 детей. Более 124 тысяч детей побывали на экскурсиях, в походах. За пределами области отдохнули 1 179 детей, в том числе на побережьях морей – 678 человек. 436 детей с экскурсиями и для оздоровления выезжали в Москву, Санкт-Петербург, Новосибирск, Улан-Удэ, Красноярск, Волгоград, Ярославль. За пределы Российской Федерации выезжали 65 </w:t>
      </w:r>
      <w:r>
        <w:lastRenderedPageBreak/>
        <w:t xml:space="preserve">детей. Отдых и оздоровление были организованы для детей работающих родителей и детей, находящиеся в трудной жизненной ситуации – детей-сирот, детей, оставшихся без попечения родителей, детей-инвалидов, детей с ограниченными возможностями здоровья, детей, состоящих на различных профилактических учетах, детей из малоимущих, многодетных семей и семей одиноких родителей.  </w:t>
      </w:r>
    </w:p>
    <w:p w:rsidR="0040067C" w:rsidRDefault="0040067C" w:rsidP="0040067C">
      <w:pPr>
        <w:spacing w:after="0"/>
        <w:ind w:firstLine="708"/>
        <w:jc w:val="both"/>
      </w:pPr>
      <w:r>
        <w:t>Особое внимание в 2017 году было уделено обеспечению безопасности пребывания детей в оздоровительных учреждениях региона. По итогам оздоровительного сезона не зафиксировано несчастных случаев, приведших к гибели детей либо причинению тяжкого вреда здоровью. По информации отдела по делам несовершеннолетних Главного управления МВД России по Иркутской области, за время летней оздоровительной кампании не зафиксировано случаев противоправных действий в отношении несовершеннолетних.</w:t>
      </w:r>
    </w:p>
    <w:p w:rsidR="0040067C" w:rsidRDefault="0040067C" w:rsidP="0040067C">
      <w:pPr>
        <w:spacing w:after="0"/>
        <w:ind w:firstLine="708"/>
        <w:jc w:val="both"/>
      </w:pPr>
      <w:r>
        <w:t>9 января текущего года началась заявительная кампания и прием документов на предоставление путевок в детские оздоровительные лагеря в 2018 году.</w:t>
      </w:r>
      <w:r w:rsidR="00D82E8C">
        <w:t xml:space="preserve"> </w:t>
      </w:r>
      <w:r w:rsidR="00D82E8C" w:rsidRPr="00D82E8C">
        <w:t xml:space="preserve"> </w:t>
      </w:r>
      <w:r w:rsidR="00D82E8C">
        <w:t xml:space="preserve">К концу марта </w:t>
      </w:r>
      <w:r w:rsidR="00D82E8C" w:rsidRPr="00D82E8C">
        <w:t>свыше 21 тысячи заявлений подано от родителей</w:t>
      </w:r>
      <w:r w:rsidR="00D50AE4">
        <w:t xml:space="preserve">, прием заявлений продолжается. </w:t>
      </w:r>
      <w:r w:rsidR="00D82E8C" w:rsidRPr="00D82E8C">
        <w:t>Начата работа по проведению конкурентных процедур для приобретения путевок – заключены 15 контрактов на оказание услуг по организации отдыха и оздоровления около 3 тысяч детей. Всего исполнительными органами власти запланировано заключить 125 контрактов для организации отдыха и оздоровления 34 тысяч детей. Приняты все необходимые для работы по оздоровлению детей нормативно-правовые акты</w:t>
      </w:r>
      <w:r w:rsidR="00B46662">
        <w:t>.</w:t>
      </w:r>
    </w:p>
    <w:p w:rsidR="00B46662" w:rsidRDefault="00B46662" w:rsidP="0040067C">
      <w:pPr>
        <w:spacing w:after="0"/>
        <w:ind w:firstLine="708"/>
        <w:jc w:val="both"/>
      </w:pPr>
      <w:r>
        <w:t xml:space="preserve">Для получения путевки родитель или законный представитель </w:t>
      </w:r>
      <w:r w:rsidR="00D50AE4">
        <w:t xml:space="preserve">должен </w:t>
      </w:r>
      <w:r>
        <w:t>обра</w:t>
      </w:r>
      <w:r w:rsidR="00D50AE4">
        <w:t>титься</w:t>
      </w:r>
      <w:r>
        <w:t xml:space="preserve"> в </w:t>
      </w:r>
      <w:hyperlink r:id="rId7" w:history="1">
        <w:r w:rsidRPr="00B46662">
          <w:rPr>
            <w:rStyle w:val="a4"/>
          </w:rPr>
          <w:t>областное государственной учреждение социального обслуживания, уполномоченное на организацию отдыха и оздоровления детей</w:t>
        </w:r>
      </w:hyperlink>
      <w:r>
        <w:t xml:space="preserve">, по месту жительства ребенка. Обеспечение ребенка путевкой осуществляется в порядке очередности, которая ведется по дате и номеру регистрации заявления и документов. </w:t>
      </w:r>
      <w:r w:rsidR="008455F0">
        <w:t xml:space="preserve">Есть у родителей возможность получения </w:t>
      </w:r>
      <w:hyperlink r:id="rId8" w:history="1">
        <w:r w:rsidR="008455F0" w:rsidRPr="008455F0">
          <w:rPr>
            <w:rStyle w:val="a4"/>
          </w:rPr>
          <w:t>компенсация</w:t>
        </w:r>
      </w:hyperlink>
      <w:r w:rsidR="008455F0">
        <w:t xml:space="preserve"> части стоимости путевки, приобретенной за счет собственных средств. Компенсация предоставляется в форме социальной выплаты одному из родителей (законному представителю) ребенка, приобретшему за счет собственных средств для ребенка путевку в организацию, обеспечивающую отдых и оздоровление детей, при условии, что среднедушевой доход его семьи ниже двукратной величины прожиточного минимума, установленной в целом по Иркутской области в расчете на душу населения. Компенсация предоставляется при условии, что ребенок, для отдыха и оздоровления которого приобретена путевка, не обеспечивался полностью или частично за счет средств областного бюджета путевкой в течение календарного года, в котором последовало обращение за компенсацией.</w:t>
      </w:r>
    </w:p>
    <w:p w:rsidR="0040067C" w:rsidRDefault="0040067C" w:rsidP="0040067C">
      <w:pPr>
        <w:spacing w:after="0"/>
        <w:ind w:firstLine="708"/>
        <w:jc w:val="both"/>
      </w:pPr>
      <w:r>
        <w:t>В Иркутской области в 2018 году объем финансирования детской оздоровительной кампании из средств областного бюдже</w:t>
      </w:r>
      <w:r w:rsidR="00D50AE4">
        <w:t xml:space="preserve">та увеличен на 22,8 млн. рублей, что позволит увеличить количество дней отдыха детей до 21-го, а также расходы на питание в день на одного ребенка. </w:t>
      </w:r>
    </w:p>
    <w:p w:rsidR="00D50AE4" w:rsidRDefault="00D23351" w:rsidP="0040067C">
      <w:pPr>
        <w:spacing w:after="0"/>
        <w:ind w:firstLine="708"/>
        <w:jc w:val="both"/>
      </w:pPr>
      <w:r>
        <w:t xml:space="preserve">В рамках рассматриваемого вопроса обсуждались: </w:t>
      </w:r>
    </w:p>
    <w:p w:rsidR="00D23351" w:rsidRDefault="00D23351" w:rsidP="0040067C">
      <w:pPr>
        <w:spacing w:after="0"/>
        <w:ind w:firstLine="708"/>
        <w:jc w:val="both"/>
      </w:pPr>
      <w:r>
        <w:lastRenderedPageBreak/>
        <w:t>- обеспечение безопасности при проезде организованных групп детей к местам отдыха и обратно, а также в период их пребывания в детских оздоровительных организациях</w:t>
      </w:r>
      <w:r w:rsidR="00C20D43">
        <w:t>;</w:t>
      </w:r>
    </w:p>
    <w:p w:rsidR="00C20D43" w:rsidRDefault="00C20D43" w:rsidP="0040067C">
      <w:pPr>
        <w:spacing w:after="0"/>
        <w:ind w:firstLine="708"/>
        <w:jc w:val="both"/>
      </w:pPr>
      <w:r>
        <w:t>- качество подготовки педагогического, медицинского и обслуживающего персонала, финансирование медицинских осмотров персонала;</w:t>
      </w:r>
    </w:p>
    <w:p w:rsidR="00C20D43" w:rsidRDefault="00C20D43" w:rsidP="0040067C">
      <w:pPr>
        <w:spacing w:after="0"/>
        <w:ind w:firstLine="708"/>
        <w:jc w:val="both"/>
      </w:pPr>
      <w:r>
        <w:t>- техническое состояние лагерей и их готовность к принятию детей перед каждой сменой, включая вопросы водоснабжения, санитарного состояния пищеблоков, мест общего пользования, рациона питания детей, соблюдения правил хранения и приготовления пищи, соответствие требованиям санитарных норм и противопожарных правил.</w:t>
      </w:r>
    </w:p>
    <w:p w:rsidR="00890B1C" w:rsidRDefault="00C20D43" w:rsidP="0040067C">
      <w:pPr>
        <w:spacing w:after="0"/>
        <w:ind w:firstLine="708"/>
        <w:jc w:val="both"/>
      </w:pPr>
      <w:r>
        <w:t>Постановлением президиума Иркутскому Профобъединению  поручено обобщать и анализировать информацию и данные мониторинга детской оздоровительной кампании 2018 года, своевременно оповещать государственные органы о возникающих проблемах, продолжить работу с социальными партнерами по совершенствованию системы детского оздоровительного отдыха, регулярно размещать информацию о</w:t>
      </w:r>
      <w:r w:rsidR="00890B1C">
        <w:t xml:space="preserve"> порядке и условиях проведения оздоровительной кампании в газете «Единство профсоюзов», на сайте Иркутского Профобъединения в сети Интернет.</w:t>
      </w:r>
    </w:p>
    <w:p w:rsidR="00890B1C" w:rsidRDefault="00890B1C" w:rsidP="0040067C">
      <w:pPr>
        <w:spacing w:after="0"/>
        <w:ind w:firstLine="708"/>
        <w:jc w:val="both"/>
      </w:pPr>
      <w:r>
        <w:t>Иркутская областная организация Общероссийского Профсоюза образования будет и далее осуществлять мониторинг организации и проведения детской оздоровительной кампании в 2018 году, примет участие в обсуждении и подведении ее итогов. Приглашаем членские организации присоединиться к мониторингу и своевременно оповещать областную организацию о возникающих проблемах.</w:t>
      </w:r>
    </w:p>
    <w:p w:rsidR="00890B1C" w:rsidRDefault="00890B1C" w:rsidP="00890B1C">
      <w:pPr>
        <w:spacing w:after="0"/>
        <w:jc w:val="both"/>
      </w:pPr>
    </w:p>
    <w:p w:rsidR="00890B1C" w:rsidRDefault="00890B1C" w:rsidP="00890B1C">
      <w:pPr>
        <w:spacing w:after="0"/>
        <w:jc w:val="both"/>
      </w:pPr>
    </w:p>
    <w:p w:rsidR="00E27538" w:rsidRDefault="00E27538" w:rsidP="00E27538">
      <w:pPr>
        <w:pStyle w:val="50"/>
        <w:ind w:firstLine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3405953</wp:posOffset>
            </wp:positionH>
            <wp:positionV relativeFrom="paragraph">
              <wp:posOffset>113030</wp:posOffset>
            </wp:positionV>
            <wp:extent cx="1272540" cy="456565"/>
            <wp:effectExtent l="0" t="0" r="0" b="0"/>
            <wp:wrapThrough wrapText="bothSides">
              <wp:wrapPolygon edited="0">
                <wp:start x="3557" y="0"/>
                <wp:lineTo x="1617" y="901"/>
                <wp:lineTo x="1617" y="7210"/>
                <wp:lineTo x="3880" y="14420"/>
                <wp:lineTo x="3557" y="18926"/>
                <wp:lineTo x="5174" y="18926"/>
                <wp:lineTo x="16168" y="15321"/>
                <wp:lineTo x="18431" y="11716"/>
                <wp:lineTo x="16814" y="3605"/>
                <wp:lineTo x="5174" y="0"/>
                <wp:lineTo x="355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С уважением, </w:t>
      </w:r>
    </w:p>
    <w:p w:rsidR="00E27538" w:rsidRDefault="00E27538" w:rsidP="00E27538">
      <w:pPr>
        <w:pStyle w:val="50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В.Г.Федосеева</w:t>
      </w:r>
    </w:p>
    <w:p w:rsidR="00E27538" w:rsidRDefault="00E27538" w:rsidP="00E27538">
      <w:pPr>
        <w:tabs>
          <w:tab w:val="left" w:pos="567"/>
        </w:tabs>
        <w:jc w:val="both"/>
        <w:rPr>
          <w:szCs w:val="28"/>
        </w:rPr>
      </w:pPr>
    </w:p>
    <w:p w:rsidR="00E27538" w:rsidRDefault="00E27538" w:rsidP="00E27538">
      <w:pPr>
        <w:tabs>
          <w:tab w:val="left" w:pos="567"/>
        </w:tabs>
        <w:jc w:val="both"/>
        <w:rPr>
          <w:szCs w:val="28"/>
        </w:rPr>
      </w:pPr>
    </w:p>
    <w:p w:rsidR="0040067C" w:rsidRDefault="0040067C" w:rsidP="0040067C">
      <w:pPr>
        <w:spacing w:after="0"/>
        <w:jc w:val="both"/>
      </w:pPr>
    </w:p>
    <w:p w:rsidR="00A16991" w:rsidRDefault="00A16991" w:rsidP="00A16991">
      <w:pPr>
        <w:spacing w:after="0"/>
        <w:jc w:val="both"/>
      </w:pPr>
      <w:r>
        <w:tab/>
      </w:r>
    </w:p>
    <w:p w:rsidR="00A16991" w:rsidRPr="00A16991" w:rsidRDefault="00A16991" w:rsidP="00A16991">
      <w:pPr>
        <w:jc w:val="both"/>
      </w:pPr>
      <w:bookmarkStart w:id="0" w:name="_GoBack"/>
      <w:bookmarkEnd w:id="0"/>
    </w:p>
    <w:sectPr w:rsidR="00A16991" w:rsidRPr="00A16991" w:rsidSect="00F8230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D"/>
    <w:rsid w:val="00302684"/>
    <w:rsid w:val="0040067C"/>
    <w:rsid w:val="006C6E46"/>
    <w:rsid w:val="00776627"/>
    <w:rsid w:val="0083252F"/>
    <w:rsid w:val="008455F0"/>
    <w:rsid w:val="00890B1C"/>
    <w:rsid w:val="00A16991"/>
    <w:rsid w:val="00AC038C"/>
    <w:rsid w:val="00B46662"/>
    <w:rsid w:val="00B937A2"/>
    <w:rsid w:val="00C05CBA"/>
    <w:rsid w:val="00C20D43"/>
    <w:rsid w:val="00C40307"/>
    <w:rsid w:val="00D23351"/>
    <w:rsid w:val="00D50AE4"/>
    <w:rsid w:val="00D74BDD"/>
    <w:rsid w:val="00D82E8C"/>
    <w:rsid w:val="00D96A99"/>
    <w:rsid w:val="00E27538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C42"/>
  <w15:chartTrackingRefBased/>
  <w15:docId w15:val="{230088BB-1A3C-497B-9275-551C507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8230B"/>
    <w:pPr>
      <w:spacing w:after="0" w:line="240" w:lineRule="auto"/>
    </w:pPr>
    <w:rPr>
      <w:rFonts w:eastAsia="Times New Roman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230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6991"/>
    <w:rPr>
      <w:color w:val="954F72" w:themeColor="followedHyperlink"/>
      <w:u w:val="single"/>
    </w:rPr>
  </w:style>
  <w:style w:type="character" w:customStyle="1" w:styleId="5">
    <w:name w:val="Стиль5 Знак"/>
    <w:link w:val="50"/>
    <w:locked/>
    <w:rsid w:val="00E27538"/>
    <w:rPr>
      <w:sz w:val="24"/>
      <w:szCs w:val="24"/>
    </w:rPr>
  </w:style>
  <w:style w:type="paragraph" w:customStyle="1" w:styleId="50">
    <w:name w:val="Стиль5"/>
    <w:basedOn w:val="a"/>
    <w:link w:val="5"/>
    <w:rsid w:val="00E27538"/>
    <w:pPr>
      <w:spacing w:after="0" w:line="240" w:lineRule="auto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/deti/norm_docs/2016/?type=spec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rkobl.ru/sites/society/news/261744/?type=spe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du38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kutsk_tk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uba\Desktop\&#1041;&#1051;&#1040;&#1053;&#1050;&#1048;_1_12_17\&#1048;&#1085;&#1092;&#1086;&#1088;&#1084;&#1072;&#1094;&#1080;&#1086;&#1085;&#1085;&#1099;&#1077;%20&#1083;&#1080;&#1089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Информационные листы.dotx</Template>
  <TotalTime>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L.Chistyakova</dc:creator>
  <cp:keywords/>
  <dc:description/>
  <cp:lastModifiedBy>User</cp:lastModifiedBy>
  <cp:revision>4</cp:revision>
  <dcterms:created xsi:type="dcterms:W3CDTF">2018-04-09T05:08:00Z</dcterms:created>
  <dcterms:modified xsi:type="dcterms:W3CDTF">2018-04-10T06:45:00Z</dcterms:modified>
</cp:coreProperties>
</file>